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A13" w14:textId="77777777" w:rsidR="007C62B6" w:rsidRPr="00BA5073" w:rsidRDefault="007C62B6" w:rsidP="007C62B6">
      <w:pPr>
        <w:rPr>
          <w:rFonts w:ascii="Times New Roman" w:hAnsi="Times New Roman" w:cs="Times New Roman"/>
          <w:b/>
          <w:sz w:val="24"/>
          <w:szCs w:val="24"/>
        </w:rPr>
      </w:pPr>
      <w:r w:rsidRPr="00BA5073">
        <w:rPr>
          <w:rFonts w:ascii="Times New Roman" w:hAnsi="Times New Roman" w:cs="Times New Roman"/>
          <w:b/>
          <w:sz w:val="24"/>
          <w:szCs w:val="24"/>
        </w:rPr>
        <w:t>BE IT ENACTED BY THE GENERAL ASSEMBLY OF XXX:</w:t>
      </w:r>
    </w:p>
    <w:p w14:paraId="1C7D57AC"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xml:space="preserve"> The General Assembly finds that it is in the best interests of this state to establish a framework designed to encourage private sector investment in the deployment of electric vehicle charging equipment. Such a framework is essential to foster the rapid installation and widespread use of such equipment on real property whose owners or tenants desire to make such an investment. To provide for such deployment, the General Assembly declares that it is necessary to:</w:t>
      </w:r>
    </w:p>
    <w:p w14:paraId="0F9920E1"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 xml:space="preserve">(1) Implement competitively neutral policies to encourage private sector investment in electric vehicle charging equipment </w:t>
      </w:r>
      <w:proofErr w:type="gramStart"/>
      <w:r w:rsidRPr="00BA5073">
        <w:rPr>
          <w:rFonts w:ascii="Times New Roman" w:hAnsi="Times New Roman" w:cs="Times New Roman"/>
          <w:sz w:val="24"/>
          <w:szCs w:val="24"/>
        </w:rPr>
        <w:t>deployment;</w:t>
      </w:r>
      <w:proofErr w:type="gramEnd"/>
    </w:p>
    <w:p w14:paraId="008EFE7B"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 xml:space="preserve">(2) Develop and implement competitively neutral electricity tariffs aimed at and optimized for the </w:t>
      </w:r>
      <w:proofErr w:type="gramStart"/>
      <w:r w:rsidRPr="00BA5073">
        <w:rPr>
          <w:rFonts w:ascii="Times New Roman" w:hAnsi="Times New Roman" w:cs="Times New Roman"/>
          <w:sz w:val="24"/>
          <w:szCs w:val="24"/>
        </w:rPr>
        <w:t>low cost</w:t>
      </w:r>
      <w:proofErr w:type="gramEnd"/>
      <w:r w:rsidRPr="00BA5073">
        <w:rPr>
          <w:rFonts w:ascii="Times New Roman" w:hAnsi="Times New Roman" w:cs="Times New Roman"/>
          <w:sz w:val="24"/>
          <w:szCs w:val="24"/>
        </w:rPr>
        <w:t xml:space="preserve"> operation of electrical vehicle charging equipment while ensuring transparency in pricing;</w:t>
      </w:r>
    </w:p>
    <w:p w14:paraId="08C564A4"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 xml:space="preserve">(3) Encourage private investment, ownership, and operation of publicly available electric vehicle charging equipment, including equipment that allows for fast </w:t>
      </w:r>
      <w:proofErr w:type="gramStart"/>
      <w:r w:rsidRPr="00BA5073">
        <w:rPr>
          <w:rFonts w:ascii="Times New Roman" w:hAnsi="Times New Roman" w:cs="Times New Roman"/>
          <w:sz w:val="24"/>
          <w:szCs w:val="24"/>
        </w:rPr>
        <w:t>charging;</w:t>
      </w:r>
      <w:proofErr w:type="gramEnd"/>
    </w:p>
    <w:p w14:paraId="17B2A4A6"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 xml:space="preserve">(4) Stimulate innovation, competition, and private investment in the electric vehicle charging </w:t>
      </w:r>
      <w:proofErr w:type="gramStart"/>
      <w:r w:rsidRPr="00BA5073">
        <w:rPr>
          <w:rFonts w:ascii="Times New Roman" w:hAnsi="Times New Roman" w:cs="Times New Roman"/>
          <w:sz w:val="24"/>
          <w:szCs w:val="24"/>
        </w:rPr>
        <w:t>market;</w:t>
      </w:r>
      <w:proofErr w:type="gramEnd"/>
      <w:r w:rsidRPr="00BA5073">
        <w:rPr>
          <w:rFonts w:ascii="Times New Roman" w:hAnsi="Times New Roman" w:cs="Times New Roman"/>
          <w:sz w:val="24"/>
          <w:szCs w:val="24"/>
        </w:rPr>
        <w:t xml:space="preserve">  </w:t>
      </w:r>
    </w:p>
    <w:p w14:paraId="3B6334B5"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 xml:space="preserve">(5) Develop mechanisms to incentivize and support the short-term and long-term efficient and cost-effective use of the electric grid in a manner that supports the operation of electric vehicle charging </w:t>
      </w:r>
      <w:proofErr w:type="gramStart"/>
      <w:r w:rsidRPr="00BA5073">
        <w:rPr>
          <w:rFonts w:ascii="Times New Roman" w:hAnsi="Times New Roman" w:cs="Times New Roman"/>
          <w:sz w:val="24"/>
          <w:szCs w:val="24"/>
        </w:rPr>
        <w:t>equipment;</w:t>
      </w:r>
      <w:proofErr w:type="gramEnd"/>
    </w:p>
    <w:p w14:paraId="67E9CF04"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(6) Provide investment or incentive resources to support private investment in the operation of electric vehicle charging equipment; and</w:t>
      </w:r>
    </w:p>
    <w:p w14:paraId="0FB7CB16"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(7) Prohibit the ability of an electric supplier to recover the cost of deploying, owning, or operating electric vehicle charging equipment from its ratepayers.</w:t>
      </w:r>
    </w:p>
    <w:p w14:paraId="18F6BD6C"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As used in this chapter, the term:</w:t>
      </w:r>
    </w:p>
    <w:p w14:paraId="4CCD9513"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(1) 'Direct current fast charging station' means a charging system that can deliver electricity at a minimum of 50 kilowatts or greater direct current to a vehicle's rechargeable battery at a voltage of 400 volts or greater.</w:t>
      </w:r>
    </w:p>
    <w:p w14:paraId="05DCE6A1"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(2) 'Electric supplier' means any electric light and power company that provides electric service to the public and whose rates, charges, and service rules and regulations are subject to regulation by the commission.</w:t>
      </w:r>
    </w:p>
    <w:p w14:paraId="0688511C"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(3) 'Electric vehicle' means an automobile that is propelled by one or more electric motors using energy stored in the form of a rechargeable battery.</w:t>
      </w:r>
    </w:p>
    <w:p w14:paraId="369C4F80"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(4) 'Electric vehicle charging equipment' means any publicly available level 2 charging station or direct current fast charging station that delivers electricity from a source outside an electric vehicle into one or more electric vehicles separate and distinct from a make-ready infrastructure.</w:t>
      </w:r>
    </w:p>
    <w:p w14:paraId="25A2C169"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(5) 'Electric vehicle charging provider' means the owner of electric vehicle charging equipment.</w:t>
      </w:r>
    </w:p>
    <w:p w14:paraId="6FE29FCD"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lastRenderedPageBreak/>
        <w:t xml:space="preserve">(6) 'Level 2 charging station' means a charging system that </w:t>
      </w:r>
      <w:proofErr w:type="gramStart"/>
      <w:r w:rsidRPr="00BA5073">
        <w:rPr>
          <w:rFonts w:ascii="Times New Roman" w:hAnsi="Times New Roman" w:cs="Times New Roman"/>
          <w:sz w:val="24"/>
          <w:szCs w:val="24"/>
        </w:rPr>
        <w:t>is capable of delivering</w:t>
      </w:r>
      <w:proofErr w:type="gramEnd"/>
      <w:r w:rsidRPr="00BA5073">
        <w:rPr>
          <w:rFonts w:ascii="Times New Roman" w:hAnsi="Times New Roman" w:cs="Times New Roman"/>
          <w:sz w:val="24"/>
          <w:szCs w:val="24"/>
        </w:rPr>
        <w:t xml:space="preserve"> electricity at a minimum of 3 kilowatts or a maximum of 20 kilowatts alternating current to a vehicle's rechargeable battery at a voltage between 208 and 240 volts. </w:t>
      </w:r>
    </w:p>
    <w:p w14:paraId="64196053"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(7) 'Make-ready infrastructure' means the electrical infrastructure required to service an electrical load up to, but not beyond the electric supplier's side of the electric meter. The term 'make-ready infrastructure' shall not include electric vehicle charging equipment.</w:t>
      </w:r>
    </w:p>
    <w:p w14:paraId="3C913CE0"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xml:space="preserve">.  An owner of an electric vehicle charging station, as defined in section XX-XX, shall not be deemed to be a utility, public </w:t>
      </w:r>
      <w:proofErr w:type="gramStart"/>
      <w:r w:rsidRPr="00BA5073">
        <w:rPr>
          <w:rFonts w:ascii="Times New Roman" w:hAnsi="Times New Roman" w:cs="Times New Roman"/>
          <w:sz w:val="24"/>
          <w:szCs w:val="24"/>
        </w:rPr>
        <w:t>utility</w:t>
      </w:r>
      <w:proofErr w:type="gramEnd"/>
      <w:r w:rsidRPr="00BA5073">
        <w:rPr>
          <w:rFonts w:ascii="Times New Roman" w:hAnsi="Times New Roman" w:cs="Times New Roman"/>
          <w:sz w:val="24"/>
          <w:szCs w:val="24"/>
        </w:rPr>
        <w:t xml:space="preserve"> or public service company solely by virtue of the fact that such owner is an owner of an electric vehicle charging station.</w:t>
      </w:r>
    </w:p>
    <w:p w14:paraId="2AD9265B"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xml:space="preserve"> (a) An electric supplier that provides, owns, operates, and maintains electric vehicle charging equipment directly to the public shall do so through a separate, unregulated entity and must do so on the same rates, terms, and conditions offered to private providers of electric vehicle charging equipment.</w:t>
      </w:r>
    </w:p>
    <w:p w14:paraId="67A147C0"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(b) On or before September 1, 2022, an electric supplier shall file a tariff with the commission which sets forth the rates, terms, and conditions for the sale of electricity to electric vehicle charging providers for the operation of electric vehicle charging equipment.</w:t>
      </w:r>
    </w:p>
    <w:p w14:paraId="314A70A9"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sz w:val="24"/>
          <w:szCs w:val="24"/>
        </w:rPr>
        <w:t>(c) The rates, terms, and conditions of the electric supplier's tariff shall not discriminate between electric vehicle charging providers, and the same rates, terms, and conditions thereof shall apply to every electric vehicle charging provider, including the electric supplier's separate, unregulated entity.</w:t>
      </w:r>
    </w:p>
    <w:p w14:paraId="0FD0CA0E" w14:textId="77777777" w:rsidR="007C62B6"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After August 31, 2022, no electric supplier shall allocate to or recover from the ratepayers of the electric supplier the cost to provide, own, operate, or maintain electric vehicle charging equipment.</w:t>
      </w:r>
    </w:p>
    <w:p w14:paraId="6981A8F9" w14:textId="0F96585E" w:rsidR="00962FF0" w:rsidRPr="00BA5073" w:rsidRDefault="007C62B6" w:rsidP="007C62B6">
      <w:pPr>
        <w:rPr>
          <w:rFonts w:ascii="Times New Roman" w:hAnsi="Times New Roman" w:cs="Times New Roman"/>
          <w:sz w:val="24"/>
          <w:szCs w:val="24"/>
        </w:rPr>
      </w:pPr>
      <w:r w:rsidRPr="00BA5073">
        <w:rPr>
          <w:rFonts w:ascii="Times New Roman" w:hAnsi="Times New Roman" w:cs="Times New Roman"/>
          <w:b/>
          <w:sz w:val="24"/>
          <w:szCs w:val="24"/>
        </w:rPr>
        <w:t>Section XX</w:t>
      </w:r>
      <w:r w:rsidRPr="00BA5073">
        <w:rPr>
          <w:rFonts w:ascii="Times New Roman" w:hAnsi="Times New Roman" w:cs="Times New Roman"/>
          <w:sz w:val="24"/>
          <w:szCs w:val="24"/>
        </w:rPr>
        <w:t>. The commission shall not approve any electric supplier's tariff setting forth the rates, terms, and conditions for the sale of electricity to electric vehicle charging providers unless such tariff complies with the policies of this state enumerated in Code Section XX-XX. The commission shall adopt any rules and regulations necessary to implement and administer the provisions of this chapter.</w:t>
      </w:r>
    </w:p>
    <w:sectPr w:rsidR="00962FF0" w:rsidRPr="00BA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B6"/>
    <w:rsid w:val="007C62B6"/>
    <w:rsid w:val="00962FF0"/>
    <w:rsid w:val="00B964C1"/>
    <w:rsid w:val="00BA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238"/>
  <w15:chartTrackingRefBased/>
  <w15:docId w15:val="{E719E966-6D3F-4856-ABE3-96F2D7D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4250</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May</dc:creator>
  <cp:keywords/>
  <dc:description/>
  <cp:lastModifiedBy>LeeAnn Goheen</cp:lastModifiedBy>
  <cp:revision>2</cp:revision>
  <dcterms:created xsi:type="dcterms:W3CDTF">2022-03-08T13:43:00Z</dcterms:created>
  <dcterms:modified xsi:type="dcterms:W3CDTF">2022-03-08T13:43:00Z</dcterms:modified>
</cp:coreProperties>
</file>